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 w:rightChars="0"/>
        <w:jc w:val="right"/>
        <w:rPr>
          <w:rFonts w:ascii="华文中宋" w:hAnsi="华文中宋" w:eastAsia="华文中宋"/>
          <w:color w:val="FF0000"/>
          <w:w w:val="40"/>
          <w:sz w:val="144"/>
          <w:szCs w:val="144"/>
        </w:rPr>
      </w:pPr>
      <w:r>
        <w:rPr>
          <w:rFonts w:hint="eastAsia" w:ascii="华文中宋" w:hAnsi="华文中宋" w:eastAsia="华文中宋"/>
          <w:color w:val="FF0000"/>
          <w:w w:val="30"/>
          <w:sz w:val="144"/>
          <w:szCs w:val="144"/>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159385</wp:posOffset>
                </wp:positionV>
                <wp:extent cx="1186180" cy="828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5065" cy="891540"/>
                        </a:xfrm>
                        <a:prstGeom prst="rect">
                          <a:avLst/>
                        </a:prstGeom>
                        <a:noFill/>
                        <a:ln>
                          <a:noFill/>
                        </a:ln>
                        <a:effectLst/>
                      </wps:spPr>
                      <wps:txbx>
                        <w:txbxContent>
                          <w:p>
                            <w:pPr>
                              <w:spacing w:line="640" w:lineRule="exact"/>
                              <w:jc w:val="distribute"/>
                              <w:rPr>
                                <w:rFonts w:hint="eastAsia" w:ascii="华文中宋" w:hAnsi="华文中宋" w:eastAsia="华文中宋"/>
                                <w:color w:val="FF0000"/>
                                <w:spacing w:val="-28"/>
                                <w:w w:val="82"/>
                                <w:sz w:val="56"/>
                                <w:szCs w:val="56"/>
                              </w:rPr>
                            </w:pPr>
                            <w:r>
                              <w:rPr>
                                <w:rFonts w:hint="eastAsia" w:ascii="华文中宋" w:hAnsi="华文中宋" w:eastAsia="华文中宋"/>
                                <w:color w:val="FF0000"/>
                                <w:spacing w:val="-28"/>
                                <w:w w:val="82"/>
                                <w:sz w:val="56"/>
                                <w:szCs w:val="56"/>
                              </w:rPr>
                              <w:t>枣庄高新</w:t>
                            </w:r>
                          </w:p>
                          <w:p>
                            <w:pPr>
                              <w:spacing w:line="640" w:lineRule="exact"/>
                              <w:jc w:val="distribute"/>
                              <w:rPr>
                                <w:rFonts w:hint="eastAsia" w:ascii="华文中宋" w:hAnsi="华文中宋" w:eastAsia="华文中宋"/>
                                <w:color w:val="FF0000"/>
                                <w:spacing w:val="-28"/>
                                <w:w w:val="82"/>
                                <w:sz w:val="56"/>
                                <w:szCs w:val="56"/>
                              </w:rPr>
                            </w:pPr>
                            <w:r>
                              <w:rPr>
                                <w:rFonts w:hint="eastAsia" w:ascii="华文中宋" w:hAnsi="华文中宋" w:eastAsia="华文中宋"/>
                                <w:color w:val="FF0000"/>
                                <w:spacing w:val="-28"/>
                                <w:w w:val="82"/>
                                <w:sz w:val="56"/>
                                <w:szCs w:val="56"/>
                              </w:rPr>
                              <w:t>技术产业</w:t>
                            </w:r>
                          </w:p>
                          <w:p>
                            <w:pPr>
                              <w:spacing w:line="640" w:lineRule="exact"/>
                              <w:jc w:val="distribute"/>
                              <w:rPr>
                                <w:rFonts w:hint="eastAsia" w:ascii="华文中宋" w:hAnsi="华文中宋" w:eastAsia="华文中宋"/>
                                <w:color w:val="FF0000"/>
                                <w:spacing w:val="-28"/>
                                <w:w w:val="71"/>
                                <w:sz w:val="56"/>
                                <w:szCs w:val="56"/>
                              </w:rPr>
                            </w:pPr>
                            <w:r>
                              <w:rPr>
                                <w:rFonts w:hint="eastAsia" w:ascii="华文中宋" w:hAnsi="华文中宋" w:eastAsia="华文中宋"/>
                                <w:color w:val="FF0000"/>
                                <w:spacing w:val="-28"/>
                                <w:w w:val="71"/>
                                <w:sz w:val="56"/>
                                <w:szCs w:val="56"/>
                              </w:rPr>
                              <w:t>产业</w:t>
                            </w:r>
                          </w:p>
                        </w:txbxContent>
                      </wps:txbx>
                      <wps:bodyPr vert="horz" wrap="square" lIns="0" tIns="36000" rIns="36000" bIns="0" anchor="t" anchorCtr="0" upright="1"/>
                    </wps:wsp>
                  </a:graphicData>
                </a:graphic>
              </wp:anchor>
            </w:drawing>
          </mc:Choice>
          <mc:Fallback>
            <w:pict>
              <v:shape id="_x0000_s1026" o:spid="_x0000_s1026" o:spt="202" type="#_x0000_t202" style="position:absolute;left:0pt;margin-left:4.35pt;margin-top:12.55pt;height:65.2pt;width:93.4pt;z-index:251660288;mso-width-relative:page;mso-height-relative:page;" filled="f" stroked="f" coordsize="21600,21600" o:gfxdata="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KE8irUAAAACAEAAA8A&#10;AAAAAAAAAQAgAAAAIgAAAGRycy9kb3ducmV2LnhtbFBLAQIUABQAAAAIAIdO4kChPxT24gEAALsD&#10;AAAOAAAAAAAAAAEAIAAAACMBAABkcnMvZTJvRG9jLnhtbFBLBQYAAAAABgAGAFkBAAB3BQAAAAA=&#10;">
                <v:fill on="f" focussize="0,0"/>
                <v:stroke on="f"/>
                <v:imagedata o:title=""/>
                <o:lock v:ext="edit" aspectratio="f"/>
                <v:textbox inset="0mm,1mm,1mm,0mm">
                  <w:txbxContent>
                    <w:p>
                      <w:pPr>
                        <w:spacing w:line="640" w:lineRule="exact"/>
                        <w:jc w:val="distribute"/>
                        <w:rPr>
                          <w:rFonts w:hint="eastAsia" w:ascii="华文中宋" w:hAnsi="华文中宋" w:eastAsia="华文中宋"/>
                          <w:color w:val="FF0000"/>
                          <w:spacing w:val="-28"/>
                          <w:w w:val="82"/>
                          <w:sz w:val="56"/>
                          <w:szCs w:val="56"/>
                        </w:rPr>
                      </w:pPr>
                      <w:r>
                        <w:rPr>
                          <w:rFonts w:hint="eastAsia" w:ascii="华文中宋" w:hAnsi="华文中宋" w:eastAsia="华文中宋"/>
                          <w:color w:val="FF0000"/>
                          <w:spacing w:val="-28"/>
                          <w:w w:val="82"/>
                          <w:sz w:val="56"/>
                          <w:szCs w:val="56"/>
                        </w:rPr>
                        <w:t>枣庄高新</w:t>
                      </w:r>
                    </w:p>
                    <w:p>
                      <w:pPr>
                        <w:spacing w:line="640" w:lineRule="exact"/>
                        <w:jc w:val="distribute"/>
                        <w:rPr>
                          <w:rFonts w:hint="eastAsia" w:ascii="华文中宋" w:hAnsi="华文中宋" w:eastAsia="华文中宋"/>
                          <w:color w:val="FF0000"/>
                          <w:spacing w:val="-28"/>
                          <w:w w:val="82"/>
                          <w:sz w:val="56"/>
                          <w:szCs w:val="56"/>
                        </w:rPr>
                      </w:pPr>
                      <w:r>
                        <w:rPr>
                          <w:rFonts w:hint="eastAsia" w:ascii="华文中宋" w:hAnsi="华文中宋" w:eastAsia="华文中宋"/>
                          <w:color w:val="FF0000"/>
                          <w:spacing w:val="-28"/>
                          <w:w w:val="82"/>
                          <w:sz w:val="56"/>
                          <w:szCs w:val="56"/>
                        </w:rPr>
                        <w:t>技术产业</w:t>
                      </w:r>
                    </w:p>
                    <w:p>
                      <w:pPr>
                        <w:spacing w:line="640" w:lineRule="exact"/>
                        <w:jc w:val="distribute"/>
                        <w:rPr>
                          <w:rFonts w:hint="eastAsia" w:ascii="华文中宋" w:hAnsi="华文中宋" w:eastAsia="华文中宋"/>
                          <w:color w:val="FF0000"/>
                          <w:spacing w:val="-28"/>
                          <w:w w:val="71"/>
                          <w:sz w:val="56"/>
                          <w:szCs w:val="56"/>
                        </w:rPr>
                      </w:pPr>
                      <w:r>
                        <w:rPr>
                          <w:rFonts w:hint="eastAsia" w:ascii="华文中宋" w:hAnsi="华文中宋" w:eastAsia="华文中宋"/>
                          <w:color w:val="FF0000"/>
                          <w:spacing w:val="-28"/>
                          <w:w w:val="71"/>
                          <w:sz w:val="56"/>
                          <w:szCs w:val="56"/>
                        </w:rPr>
                        <w:t>产业</w:t>
                      </w:r>
                    </w:p>
                  </w:txbxContent>
                </v:textbox>
              </v:shape>
            </w:pict>
          </mc:Fallback>
        </mc:AlternateContent>
      </w:r>
      <w:r>
        <w:rPr>
          <w:rFonts w:hint="eastAsia" w:ascii="华文中宋" w:hAnsi="华文中宋" w:eastAsia="华文中宋"/>
          <w:color w:val="FF0000"/>
          <w:w w:val="30"/>
          <w:sz w:val="144"/>
          <w:szCs w:val="144"/>
        </w:rPr>
        <w:t xml:space="preserve"> </w:t>
      </w:r>
      <w:r>
        <w:rPr>
          <w:rFonts w:hint="eastAsia" w:ascii="华文中宋" w:hAnsi="华文中宋" w:eastAsia="华文中宋"/>
          <w:color w:val="FF0000"/>
          <w:w w:val="40"/>
          <w:sz w:val="144"/>
          <w:szCs w:val="144"/>
        </w:rPr>
        <w:t>开发区兴仁街道办事处文件</w:t>
      </w:r>
    </w:p>
    <w:p>
      <w:pPr>
        <w:keepNext w:val="0"/>
        <w:keepLines w:val="0"/>
        <w:pageBreakBefore w:val="0"/>
        <w:widowControl w:val="0"/>
        <w:tabs>
          <w:tab w:val="left" w:pos="3945"/>
        </w:tabs>
        <w:kinsoku/>
        <w:wordWrap/>
        <w:overflowPunct/>
        <w:topLinePunct w:val="0"/>
        <w:autoSpaceDE/>
        <w:autoSpaceDN/>
        <w:bidi w:val="0"/>
        <w:adjustRightInd/>
        <w:snapToGrid/>
        <w:spacing w:before="313" w:beforeLines="10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color w:val="000000"/>
          <w:kern w:val="0"/>
          <w:sz w:val="32"/>
          <w:szCs w:val="32"/>
          <w:lang w:val="en-US" w:eastAsia="zh-CN"/>
        </w:rPr>
        <w:t>枣高兴仁办发</w:t>
      </w:r>
      <w:r>
        <w:rPr>
          <w:rFonts w:hint="eastAsia"/>
          <w:sz w:val="30"/>
          <w:szCs w:val="30"/>
          <w:lang w:val="en-US" w:eastAsia="zh-CN"/>
        </w:rPr>
        <w:t>〔</w:t>
      </w:r>
      <w:r>
        <w:rPr>
          <w:rFonts w:hint="eastAsia" w:ascii="楷体_GB2312" w:hAnsi="楷体_GB2312" w:eastAsia="楷体_GB2312" w:cs="楷体_GB2312"/>
          <w:color w:val="000000"/>
          <w:kern w:val="0"/>
          <w:sz w:val="32"/>
          <w:szCs w:val="32"/>
          <w:lang w:val="en-US" w:eastAsia="zh-CN"/>
        </w:rPr>
        <w:t>2023</w:t>
      </w:r>
      <w:r>
        <w:rPr>
          <w:rFonts w:hint="eastAsia"/>
          <w:sz w:val="30"/>
          <w:szCs w:val="30"/>
          <w:lang w:val="en-US" w:eastAsia="zh-CN"/>
        </w:rPr>
        <w:t>〕</w:t>
      </w:r>
      <w:r>
        <w:rPr>
          <w:rFonts w:hint="eastAsia" w:ascii="楷体_GB2312" w:hAnsi="楷体_GB2312" w:eastAsia="楷体_GB2312" w:cs="楷体_GB2312"/>
          <w:color w:val="000000"/>
          <w:kern w:val="0"/>
          <w:sz w:val="32"/>
          <w:szCs w:val="32"/>
          <w:lang w:val="en-US" w:eastAsia="zh-CN"/>
        </w:rPr>
        <w:t>20号</w:t>
      </w:r>
    </w:p>
    <w:p>
      <w:pPr>
        <w:jc w:val="both"/>
        <w:rPr>
          <w:rFonts w:hint="eastAsia" w:ascii="黑体" w:hAnsi="宋体" w:eastAsia="黑体" w:cs="宋体"/>
          <w:color w:val="000000"/>
          <w:kern w:val="0"/>
          <w:sz w:val="44"/>
          <w:szCs w:val="44"/>
        </w:rPr>
      </w:pPr>
      <w:r>
        <w:rPr>
          <w:rFonts w:hint="eastAsia" w:ascii="方正大标宋简体" w:eastAsia="方正大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111760</wp:posOffset>
                </wp:positionV>
                <wp:extent cx="57150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5pt;margin-top:8.8pt;height:0pt;width:450pt;z-index:251659264;mso-width-relative:page;mso-height-relative:page;" filled="f" stroked="t" coordsize="21600,21600" o:gfxdata="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CZCudUAAAAJAQAADwAAAAAAAAABACAAAAAiAAAAZHJzL2Rvd25yZXYueG1s&#10;UEsBAhQAFAAAAAgAh07iQCi3GOL7AQAA8wMAAA4AAAAAAAAAAQAgAAAAJAEAAGRycy9lMm9Eb2Mu&#10;eG1sUEsFBgAAAAAGAAYAWQEAAJEFAAAAAA==&#10;">
                <v:fill on="f" focussize="0,0"/>
                <v:stroke weight="2.25pt" color="#FF0000" joinstyle="round"/>
                <v:imagedata o:title=""/>
                <o:lock v:ext="edit" aspectratio="f"/>
              </v:line>
            </w:pict>
          </mc:Fallback>
        </mc:AlternateContent>
      </w:r>
    </w:p>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关于切实做好三秋生产暨秸秆禁烧工作的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各管区、村、各有关部门：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为全力做好三秋生产与秸秆禁烧综合利用工作，确保三秋生产工作顺利进行，有效遏制焚烧秸秆违法行为，保障大气环境质量和秋粮丰产丰收工作，现结合我街道实际，主要抓好以下几方面工作：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 w:hAnsi="仿宋" w:eastAsia="仿宋" w:cs="仿宋"/>
          <w:b w:val="0"/>
          <w:bCs w:val="0"/>
          <w:sz w:val="32"/>
          <w:szCs w:val="32"/>
          <w:lang w:val="en-US" w:eastAsia="zh-CN"/>
        </w:rPr>
        <w:t>以习近平新时代中国特色社会主义思想为指导，以提升农机装备水平、推广农机化新技术为抓手，以玉米机收、机械深松整地和小麦播种为重点。我街道立足一个“早”字，突出一个“实”字，结合实际情况，超前谋划、细心部署，积极落实各项措施，确保今年三秋生产工作圆满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（一）全面抓好宣传动员</w:t>
      </w:r>
      <w:r>
        <w:rPr>
          <w:rFonts w:hint="eastAsia" w:ascii="楷体_GB2312" w:hAnsi="楷体_GB2312" w:eastAsia="楷体_GB2312" w:cs="楷体_GB2312"/>
          <w:sz w:val="32"/>
          <w:szCs w:val="32"/>
          <w:lang w:val="en-US" w:eastAsia="zh-CN"/>
        </w:rPr>
        <w:t>。</w:t>
      </w:r>
      <w:r>
        <w:rPr>
          <w:rFonts w:hint="eastAsia" w:ascii="仿宋" w:hAnsi="仿宋" w:eastAsia="仿宋" w:cs="仿宋"/>
          <w:b w:val="0"/>
          <w:bCs w:val="0"/>
          <w:sz w:val="32"/>
          <w:szCs w:val="32"/>
          <w:lang w:val="en-US" w:eastAsia="zh-CN"/>
        </w:rPr>
        <w:t>各村支部书记、主任要认真履行防火禁烧的第一责任人，全面抓好辖区内的秋收和秸秆禁烧工作。要强化宣传引导，充分利用村广播</w:t>
      </w:r>
      <w:r>
        <w:rPr>
          <w:rFonts w:hint="eastAsia" w:ascii="仿宋_GB2312" w:hAnsi="仿宋_GB2312" w:eastAsia="仿宋_GB2312" w:cs="仿宋_GB2312"/>
          <w:sz w:val="32"/>
          <w:szCs w:val="32"/>
          <w:lang w:val="en-US" w:eastAsia="zh-CN"/>
        </w:rPr>
        <w:t>、悬挂防火横幅、宣传车巡回宣传等方式，广泛深入宣传禁烧和秸秆综合利用工作，把禁烧秸秆和大气污染防治工作的决心和力度宣传出去，把焚烧秸秆的后果及惩治措施宣传出去，推动形成“秸秆禁烧、人人参与、人人有责”的三秋生产的浓厚氛围。提高广大村民防火安全意识。每村要张贴禁烧通告，每条路悬挂过路标语，村庄主干道两侧，在显要位置悬挂秸秆禁烧宣传条幅，1000人以下的村，宣传条幅不少于5幅，1000人以上的村，过路标语不少于10幅。街道督导组将对宣传情况进行专项检查，对宣传不到位的村进行通报批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（二）严格落实防火措施</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严格落实安全防火责任制，每个村根据地块实际情况，设置防火棚即（本村三秋生产和秸秆禁烧指挥部）。防火棚要明确至少2名固定防火队员，防火棚内要配备必要的灭火工具和桌椅、床铺、绘制防火点分布图，注明值班带班人员、联系方式。村级组织专人安全巡查队伍，24小时昼夜值班，严防死守。要把握好关键时间节点和重要部位，合理安排作息时间，避免一早一晚和午饭时间出现监管空档，确保防火责任落到实处，彻底消除焚烧秸秆的现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（三）拓宽秸秆综合利用渠道</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积极开展秸秆肥料，进一步加大收储与综合利用力度。大力开展秸秆肥料化利用，推广秸秆机械化还田，力争全部使用联合收获、秸秆粉碎还田机械，把秸秆就地粉碎还田，增加土壤肥力，改善土壤环境。对于不能粉碎还田的秸秆，禁止堆放在田间地头、河沟、渠边及道路两侧等处。各管区、村要组织进行彻底清运，利用村内外空闲地、废弃地进行集中堆放。曲柏后村、西曲柏村、匡山头村3个重点的村，每村至少要设置一个秸秆集中堆放点。集中堆放点要安排专人看管，配备相应的灭火工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四、组织领导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lang w:val="en-US" w:eastAsia="zh-CN"/>
        </w:rPr>
        <w:t>（一）强化领导</w:t>
      </w:r>
      <w:r>
        <w:rPr>
          <w:rFonts w:hint="eastAsia" w:ascii="楷体_GB2312" w:hAnsi="楷体_GB2312" w:eastAsia="楷体_GB2312" w:cs="楷体_GB2312"/>
          <w:sz w:val="32"/>
          <w:szCs w:val="32"/>
          <w:lang w:val="en-US" w:eastAsia="zh-CN"/>
        </w:rPr>
        <w:t>。</w:t>
      </w:r>
      <w:r>
        <w:rPr>
          <w:rFonts w:hint="eastAsia" w:ascii="仿宋" w:hAnsi="仿宋" w:eastAsia="仿宋" w:cs="仿宋"/>
          <w:sz w:val="32"/>
          <w:szCs w:val="32"/>
        </w:rPr>
        <w:t>为加强对三秋及秸秆禁烧工作的领导，街道成立由党工委书记任总指挥，办事处主任任组长，分管领导任副组长，</w:t>
      </w:r>
      <w:r>
        <w:rPr>
          <w:rFonts w:hint="eastAsia" w:ascii="仿宋" w:hAnsi="仿宋" w:eastAsia="仿宋" w:cs="仿宋"/>
          <w:sz w:val="32"/>
          <w:szCs w:val="32"/>
          <w:lang w:val="en-US" w:eastAsia="zh-CN"/>
        </w:rPr>
        <w:t>科级干部</w:t>
      </w:r>
      <w:r>
        <w:rPr>
          <w:rFonts w:hint="eastAsia" w:ascii="仿宋" w:hAnsi="仿宋" w:eastAsia="仿宋" w:cs="仿宋"/>
          <w:sz w:val="32"/>
          <w:szCs w:val="32"/>
        </w:rPr>
        <w:t>为成员的三秋生产</w:t>
      </w:r>
      <w:r>
        <w:rPr>
          <w:rFonts w:hint="eastAsia" w:ascii="仿宋" w:hAnsi="仿宋" w:eastAsia="仿宋" w:cs="仿宋"/>
          <w:sz w:val="32"/>
          <w:szCs w:val="32"/>
          <w:lang w:val="en-US" w:eastAsia="zh-CN"/>
        </w:rPr>
        <w:t>及秸秆禁烧</w:t>
      </w:r>
      <w:r>
        <w:rPr>
          <w:rFonts w:hint="eastAsia" w:ascii="仿宋" w:hAnsi="仿宋" w:eastAsia="仿宋" w:cs="仿宋"/>
          <w:sz w:val="32"/>
          <w:szCs w:val="32"/>
        </w:rPr>
        <w:t>工作领导小组，</w:t>
      </w:r>
      <w:r>
        <w:rPr>
          <w:rFonts w:hint="eastAsia" w:ascii="仿宋_GB2312" w:hAnsi="仿宋_GB2312" w:eastAsia="仿宋_GB2312" w:cs="仿宋_GB2312"/>
          <w:sz w:val="32"/>
          <w:szCs w:val="32"/>
          <w:lang w:val="en-US" w:eastAsia="zh-CN"/>
        </w:rPr>
        <w:t>具体负责秸秆综合利用和禁烧工作的统筹调度、组织协调、督导和检查验收。</w:t>
      </w:r>
      <w:r>
        <w:rPr>
          <w:rFonts w:hint="eastAsia" w:ascii="仿宋" w:hAnsi="仿宋" w:eastAsia="仿宋" w:cs="仿宋"/>
          <w:sz w:val="32"/>
          <w:szCs w:val="32"/>
        </w:rPr>
        <w:t>各村也要成立相应的机构，</w:t>
      </w:r>
      <w:r>
        <w:rPr>
          <w:rFonts w:hint="eastAsia" w:ascii="仿宋_GB2312" w:hAnsi="仿宋_GB2312" w:eastAsia="仿宋_GB2312" w:cs="仿宋_GB2312"/>
          <w:sz w:val="32"/>
          <w:szCs w:val="32"/>
          <w:lang w:val="en-US" w:eastAsia="zh-CN"/>
        </w:rPr>
        <w:t>认真安排部署，切实抓好落实，明确分工，细化责任，</w:t>
      </w:r>
      <w:r>
        <w:rPr>
          <w:rFonts w:hint="eastAsia" w:ascii="仿宋" w:hAnsi="仿宋" w:eastAsia="仿宋" w:cs="仿宋"/>
          <w:sz w:val="32"/>
          <w:szCs w:val="32"/>
        </w:rPr>
        <w:t>支部书记亲自抓，村两委成员具体抓，一级抓一级，层层抓落实。加强对三秋及秸秆禁烧工作的统一指挥，</w:t>
      </w:r>
      <w:r>
        <w:rPr>
          <w:rFonts w:hint="eastAsia" w:ascii="仿宋_GB2312" w:hAnsi="仿宋_GB2312" w:eastAsia="仿宋_GB2312" w:cs="仿宋_GB2312"/>
          <w:sz w:val="32"/>
          <w:szCs w:val="32"/>
          <w:lang w:val="en-US" w:eastAsia="zh-CN"/>
        </w:rPr>
        <w:t>确保三秋生产、秸秆综合利用和禁烧工作顺利进行和全面完成。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（二）全面督导</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成立由领导干部带队的督导组，坚持明察暗访相结合，不定期对各管区、村的秸秆综合利用、禁烧及禁止在主干道路、村村通道路上打场晒粮等工作的开展情况进行督查，好的予以表彰，差的通报批评。</w:t>
      </w:r>
      <w:r>
        <w:rPr>
          <w:rFonts w:hint="eastAsia" w:ascii="仿宋_GB2312" w:hAnsi="仿宋_GB2312" w:eastAsia="仿宋_GB2312" w:cs="仿宋_GB2312"/>
          <w:b/>
          <w:bCs/>
          <w:sz w:val="32"/>
          <w:szCs w:val="32"/>
          <w:lang w:val="en-US" w:eastAsia="zh-CN"/>
        </w:rPr>
        <w:t>一是对各村防火棚搭建及防火设施配备进行督导检查。各</w:t>
      </w:r>
      <w:r>
        <w:rPr>
          <w:rFonts w:hint="eastAsia" w:ascii="仿宋_GB2312" w:hAnsi="仿宋_GB2312" w:eastAsia="仿宋_GB2312" w:cs="仿宋_GB2312"/>
          <w:b w:val="0"/>
          <w:bCs w:val="0"/>
          <w:sz w:val="32"/>
          <w:szCs w:val="32"/>
          <w:lang w:val="en-US" w:eastAsia="zh-CN"/>
        </w:rPr>
        <w:t>防火点的防火棚应在秋收前搭建好，对秋收作物已收获还未搭建好防火棚或防火工具不到位的村责令限期整改。</w:t>
      </w:r>
      <w:r>
        <w:rPr>
          <w:rFonts w:hint="eastAsia" w:ascii="仿宋_GB2312" w:hAnsi="仿宋_GB2312" w:eastAsia="仿宋_GB2312" w:cs="仿宋_GB2312"/>
          <w:b/>
          <w:bCs/>
          <w:sz w:val="32"/>
          <w:szCs w:val="32"/>
          <w:lang w:val="en-US" w:eastAsia="zh-CN"/>
        </w:rPr>
        <w:t>二是督导人员到位情况。</w:t>
      </w:r>
      <w:r>
        <w:rPr>
          <w:rFonts w:hint="eastAsia" w:ascii="仿宋_GB2312" w:hAnsi="仿宋_GB2312" w:eastAsia="仿宋_GB2312" w:cs="仿宋_GB2312"/>
          <w:b w:val="0"/>
          <w:bCs w:val="0"/>
          <w:sz w:val="32"/>
          <w:szCs w:val="32"/>
          <w:lang w:val="en-US" w:eastAsia="zh-CN"/>
        </w:rPr>
        <w:t>村干部不按要求在防火岗位的，要在全街道通报批评。</w:t>
      </w:r>
      <w:r>
        <w:rPr>
          <w:rFonts w:hint="eastAsia" w:ascii="仿宋_GB2312" w:hAnsi="仿宋_GB2312" w:eastAsia="仿宋_GB2312" w:cs="仿宋_GB2312"/>
          <w:b/>
          <w:bCs/>
          <w:sz w:val="32"/>
          <w:szCs w:val="32"/>
          <w:lang w:val="en-US" w:eastAsia="zh-CN"/>
        </w:rPr>
        <w:t>三是督导各管区、村的秸秆粉碎和清理工作。</w:t>
      </w:r>
      <w:r>
        <w:rPr>
          <w:rFonts w:hint="eastAsia" w:ascii="仿宋_GB2312" w:hAnsi="仿宋_GB2312" w:eastAsia="仿宋_GB2312" w:cs="仿宋_GB2312"/>
          <w:b w:val="0"/>
          <w:bCs w:val="0"/>
          <w:sz w:val="32"/>
          <w:szCs w:val="32"/>
          <w:lang w:val="en-US" w:eastAsia="zh-CN"/>
        </w:rPr>
        <w:t>对因监督不力导致粉碎效果不好和秸秆清理不及时、不彻底的，或整改落实不到位的管区、村在全街道进行通报批评。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全体管区和村干部要切实提高站位，讲政治，顾大局，明确重点，找准关键，以高度的责任感、使命感，担当作为，抓好工作措施的落实，全力以赴保证三秋生产暨秸秆禁烧与综合利用工作完美收官。</w:t>
      </w:r>
    </w:p>
    <w:sectPr>
      <w:footerReference r:id="rId3" w:type="default"/>
      <w:pgSz w:w="11906" w:h="16838"/>
      <w:pgMar w:top="1701" w:right="1587" w:bottom="158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D045E"/>
    <w:multiLevelType w:val="singleLevel"/>
    <w:tmpl w:val="CD8D04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TMxOGM4ZmZlZGNhOWYyMTgxZDZkMzVkY2ZiNjMifQ=="/>
  </w:docVars>
  <w:rsids>
    <w:rsidRoot w:val="00000000"/>
    <w:rsid w:val="024C46FE"/>
    <w:rsid w:val="02BA46C1"/>
    <w:rsid w:val="05981CD4"/>
    <w:rsid w:val="06A337B9"/>
    <w:rsid w:val="06F625A4"/>
    <w:rsid w:val="0AD62CB5"/>
    <w:rsid w:val="0C910471"/>
    <w:rsid w:val="158A212D"/>
    <w:rsid w:val="16440DCC"/>
    <w:rsid w:val="18AC2B85"/>
    <w:rsid w:val="18CA5540"/>
    <w:rsid w:val="1C200DCE"/>
    <w:rsid w:val="1D4A73B7"/>
    <w:rsid w:val="20380BDE"/>
    <w:rsid w:val="22125CC2"/>
    <w:rsid w:val="237E243E"/>
    <w:rsid w:val="24396C30"/>
    <w:rsid w:val="2E612B53"/>
    <w:rsid w:val="2EAD7818"/>
    <w:rsid w:val="304D71E4"/>
    <w:rsid w:val="340D5924"/>
    <w:rsid w:val="36DF781C"/>
    <w:rsid w:val="3C015B27"/>
    <w:rsid w:val="3F996792"/>
    <w:rsid w:val="48E513EF"/>
    <w:rsid w:val="4BB543D4"/>
    <w:rsid w:val="4DA6718B"/>
    <w:rsid w:val="505A0AA6"/>
    <w:rsid w:val="51F33BCD"/>
    <w:rsid w:val="52C6003E"/>
    <w:rsid w:val="60B344B3"/>
    <w:rsid w:val="62B40FD5"/>
    <w:rsid w:val="636A6D4C"/>
    <w:rsid w:val="662769E6"/>
    <w:rsid w:val="67EF7113"/>
    <w:rsid w:val="6A7E7B5D"/>
    <w:rsid w:val="6D7C7456"/>
    <w:rsid w:val="6EEB5503"/>
    <w:rsid w:val="6F43410F"/>
    <w:rsid w:val="70DC77D7"/>
    <w:rsid w:val="715D6356"/>
    <w:rsid w:val="74F82FA3"/>
    <w:rsid w:val="74FF6F3F"/>
    <w:rsid w:val="76E76439"/>
    <w:rsid w:val="7C1454B8"/>
    <w:rsid w:val="7C694787"/>
    <w:rsid w:val="7CC876B0"/>
    <w:rsid w:val="7D4E3389"/>
    <w:rsid w:val="7E004771"/>
    <w:rsid w:val="7E983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3295</Words>
  <Characters>3317</Characters>
  <Lines>0</Lines>
  <Paragraphs>0</Paragraphs>
  <TotalTime>141</TotalTime>
  <ScaleCrop>false</ScaleCrop>
  <LinksUpToDate>false</LinksUpToDate>
  <CharactersWithSpaces>3504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2020-10-04T02:46:00Z</dcterms:created>
  <dc:creator>Administrator</dc:creator>
  <cp:lastModifiedBy>热河</cp:lastModifiedBy>
  <cp:lastPrinted>2022-09-23T00:41:00Z</cp:lastPrinted>
  <dcterms:modified xsi:type="dcterms:W3CDTF">2023-09-20T02:02:57Z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C86BF713F9A14E5BB388C7F2D7D25EA7_13</vt:lpwstr>
  </property>
</Properties>
</file>