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36" w:rightChars="0"/>
        <w:jc w:val="right"/>
        <w:rPr>
          <w:rFonts w:ascii="华文中宋" w:hAnsi="华文中宋" w:eastAsia="华文中宋"/>
          <w:color w:val="FF0000"/>
          <w:w w:val="40"/>
          <w:sz w:val="144"/>
          <w:szCs w:val="144"/>
        </w:rPr>
      </w:pPr>
      <w:r>
        <w:rPr>
          <w:rFonts w:hint="eastAsia" w:ascii="华文中宋" w:hAnsi="华文中宋" w:eastAsia="华文中宋"/>
          <w:color w:val="FF0000"/>
          <w:w w:val="30"/>
          <w:sz w:val="144"/>
          <w:szCs w:val="144"/>
        </w:rPr>
        <mc:AlternateContent>
          <mc:Choice Requires="wps">
            <w:drawing>
              <wp:anchor distT="0" distB="0" distL="114300" distR="114300" simplePos="0" relativeHeight="251660288" behindDoc="0" locked="0" layoutInCell="1" allowOverlap="1">
                <wp:simplePos x="0" y="0"/>
                <wp:positionH relativeFrom="column">
                  <wp:posOffset>55245</wp:posOffset>
                </wp:positionH>
                <wp:positionV relativeFrom="paragraph">
                  <wp:posOffset>159385</wp:posOffset>
                </wp:positionV>
                <wp:extent cx="1186180" cy="82804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155065" cy="891540"/>
                        </a:xfrm>
                        <a:prstGeom prst="rect">
                          <a:avLst/>
                        </a:prstGeom>
                        <a:noFill/>
                        <a:ln>
                          <a:noFill/>
                        </a:ln>
                        <a:effectLst/>
                      </wps:spPr>
                      <wps:txbx>
                        <w:txbxContent>
                          <w:p>
                            <w:pPr>
                              <w:spacing w:line="640" w:lineRule="exact"/>
                              <w:jc w:val="distribute"/>
                              <w:rPr>
                                <w:rFonts w:hint="eastAsia" w:ascii="华文中宋" w:hAnsi="华文中宋" w:eastAsia="华文中宋"/>
                                <w:color w:val="FF0000"/>
                                <w:spacing w:val="-28"/>
                                <w:w w:val="82"/>
                                <w:sz w:val="56"/>
                                <w:szCs w:val="56"/>
                              </w:rPr>
                            </w:pPr>
                            <w:r>
                              <w:rPr>
                                <w:rFonts w:hint="eastAsia" w:ascii="华文中宋" w:hAnsi="华文中宋" w:eastAsia="华文中宋"/>
                                <w:color w:val="FF0000"/>
                                <w:spacing w:val="-28"/>
                                <w:w w:val="82"/>
                                <w:sz w:val="56"/>
                                <w:szCs w:val="56"/>
                              </w:rPr>
                              <w:t>枣庄高新</w:t>
                            </w:r>
                          </w:p>
                          <w:p>
                            <w:pPr>
                              <w:spacing w:line="640" w:lineRule="exact"/>
                              <w:jc w:val="distribute"/>
                              <w:rPr>
                                <w:rFonts w:hint="eastAsia" w:ascii="华文中宋" w:hAnsi="华文中宋" w:eastAsia="华文中宋"/>
                                <w:color w:val="FF0000"/>
                                <w:spacing w:val="-28"/>
                                <w:w w:val="82"/>
                                <w:sz w:val="56"/>
                                <w:szCs w:val="56"/>
                              </w:rPr>
                            </w:pPr>
                            <w:r>
                              <w:rPr>
                                <w:rFonts w:hint="eastAsia" w:ascii="华文中宋" w:hAnsi="华文中宋" w:eastAsia="华文中宋"/>
                                <w:color w:val="FF0000"/>
                                <w:spacing w:val="-28"/>
                                <w:w w:val="82"/>
                                <w:sz w:val="56"/>
                                <w:szCs w:val="56"/>
                              </w:rPr>
                              <w:t>技术产业</w:t>
                            </w:r>
                          </w:p>
                          <w:p>
                            <w:pPr>
                              <w:spacing w:line="640" w:lineRule="exact"/>
                              <w:jc w:val="distribute"/>
                              <w:rPr>
                                <w:rFonts w:hint="eastAsia" w:ascii="华文中宋" w:hAnsi="华文中宋" w:eastAsia="华文中宋"/>
                                <w:color w:val="FF0000"/>
                                <w:spacing w:val="-28"/>
                                <w:w w:val="71"/>
                                <w:sz w:val="56"/>
                                <w:szCs w:val="56"/>
                              </w:rPr>
                            </w:pPr>
                            <w:r>
                              <w:rPr>
                                <w:rFonts w:hint="eastAsia" w:ascii="华文中宋" w:hAnsi="华文中宋" w:eastAsia="华文中宋"/>
                                <w:color w:val="FF0000"/>
                                <w:spacing w:val="-28"/>
                                <w:w w:val="71"/>
                                <w:sz w:val="56"/>
                                <w:szCs w:val="56"/>
                              </w:rPr>
                              <w:t>产业</w:t>
                            </w:r>
                          </w:p>
                        </w:txbxContent>
                      </wps:txbx>
                      <wps:bodyPr vert="horz" wrap="square" lIns="0" tIns="36000" rIns="36000" bIns="0" anchor="t" anchorCtr="0" upright="1"/>
                    </wps:wsp>
                  </a:graphicData>
                </a:graphic>
              </wp:anchor>
            </w:drawing>
          </mc:Choice>
          <mc:Fallback>
            <w:pict>
              <v:shape id="_x0000_s1026" o:spid="_x0000_s1026" o:spt="202" type="#_x0000_t202" style="position:absolute;left:0pt;margin-left:4.35pt;margin-top:12.55pt;height:65.2pt;width:93.4pt;z-index:251660288;mso-width-relative:page;mso-height-relative:page;" filled="f" stroked="f" coordsize="21600,21600" o:gfxdata="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OKE8irUAAAACAEAAA8A&#10;AAAAAAAAAQAgAAAAIgAAAGRycy9kb3ducmV2LnhtbFBLAQIUABQAAAAIAIdO4kChPxT24gEAALsD&#10;AAAOAAAAAAAAAAEAIAAAACMBAABkcnMvZTJvRG9jLnhtbFBLBQYAAAAABgAGAFkBAAB3BQAAAAA=&#10;">
                <v:fill on="f" focussize="0,0"/>
                <v:stroke on="f"/>
                <v:imagedata o:title=""/>
                <o:lock v:ext="edit" aspectratio="f"/>
                <v:textbox inset="0mm,1mm,1mm,0mm">
                  <w:txbxContent>
                    <w:p>
                      <w:pPr>
                        <w:spacing w:line="640" w:lineRule="exact"/>
                        <w:jc w:val="distribute"/>
                        <w:rPr>
                          <w:rFonts w:hint="eastAsia" w:ascii="华文中宋" w:hAnsi="华文中宋" w:eastAsia="华文中宋"/>
                          <w:color w:val="FF0000"/>
                          <w:spacing w:val="-28"/>
                          <w:w w:val="82"/>
                          <w:sz w:val="56"/>
                          <w:szCs w:val="56"/>
                        </w:rPr>
                      </w:pPr>
                      <w:r>
                        <w:rPr>
                          <w:rFonts w:hint="eastAsia" w:ascii="华文中宋" w:hAnsi="华文中宋" w:eastAsia="华文中宋"/>
                          <w:color w:val="FF0000"/>
                          <w:spacing w:val="-28"/>
                          <w:w w:val="82"/>
                          <w:sz w:val="56"/>
                          <w:szCs w:val="56"/>
                        </w:rPr>
                        <w:t>枣庄高新</w:t>
                      </w:r>
                    </w:p>
                    <w:p>
                      <w:pPr>
                        <w:spacing w:line="640" w:lineRule="exact"/>
                        <w:jc w:val="distribute"/>
                        <w:rPr>
                          <w:rFonts w:hint="eastAsia" w:ascii="华文中宋" w:hAnsi="华文中宋" w:eastAsia="华文中宋"/>
                          <w:color w:val="FF0000"/>
                          <w:spacing w:val="-28"/>
                          <w:w w:val="82"/>
                          <w:sz w:val="56"/>
                          <w:szCs w:val="56"/>
                        </w:rPr>
                      </w:pPr>
                      <w:r>
                        <w:rPr>
                          <w:rFonts w:hint="eastAsia" w:ascii="华文中宋" w:hAnsi="华文中宋" w:eastAsia="华文中宋"/>
                          <w:color w:val="FF0000"/>
                          <w:spacing w:val="-28"/>
                          <w:w w:val="82"/>
                          <w:sz w:val="56"/>
                          <w:szCs w:val="56"/>
                        </w:rPr>
                        <w:t>技术产业</w:t>
                      </w:r>
                    </w:p>
                    <w:p>
                      <w:pPr>
                        <w:spacing w:line="640" w:lineRule="exact"/>
                        <w:jc w:val="distribute"/>
                        <w:rPr>
                          <w:rFonts w:hint="eastAsia" w:ascii="华文中宋" w:hAnsi="华文中宋" w:eastAsia="华文中宋"/>
                          <w:color w:val="FF0000"/>
                          <w:spacing w:val="-28"/>
                          <w:w w:val="71"/>
                          <w:sz w:val="56"/>
                          <w:szCs w:val="56"/>
                        </w:rPr>
                      </w:pPr>
                      <w:r>
                        <w:rPr>
                          <w:rFonts w:hint="eastAsia" w:ascii="华文中宋" w:hAnsi="华文中宋" w:eastAsia="华文中宋"/>
                          <w:color w:val="FF0000"/>
                          <w:spacing w:val="-28"/>
                          <w:w w:val="71"/>
                          <w:sz w:val="56"/>
                          <w:szCs w:val="56"/>
                        </w:rPr>
                        <w:t>产业</w:t>
                      </w:r>
                    </w:p>
                  </w:txbxContent>
                </v:textbox>
              </v:shape>
            </w:pict>
          </mc:Fallback>
        </mc:AlternateContent>
      </w:r>
      <w:r>
        <w:rPr>
          <w:rFonts w:hint="eastAsia" w:ascii="华文中宋" w:hAnsi="华文中宋" w:eastAsia="华文中宋"/>
          <w:color w:val="FF0000"/>
          <w:w w:val="30"/>
          <w:sz w:val="144"/>
          <w:szCs w:val="144"/>
        </w:rPr>
        <w:t xml:space="preserve"> </w:t>
      </w:r>
      <w:r>
        <w:rPr>
          <w:rFonts w:hint="eastAsia" w:ascii="华文中宋" w:hAnsi="华文中宋" w:eastAsia="华文中宋"/>
          <w:color w:val="FF0000"/>
          <w:w w:val="40"/>
          <w:sz w:val="144"/>
          <w:szCs w:val="144"/>
        </w:rPr>
        <w:t>开发区兴仁街道办事处文件</w:t>
      </w:r>
    </w:p>
    <w:p>
      <w:pPr>
        <w:keepNext w:val="0"/>
        <w:keepLines w:val="0"/>
        <w:pageBreakBefore w:val="0"/>
        <w:widowControl w:val="0"/>
        <w:tabs>
          <w:tab w:val="left" w:pos="3945"/>
        </w:tabs>
        <w:kinsoku/>
        <w:wordWrap/>
        <w:overflowPunct/>
        <w:topLinePunct w:val="0"/>
        <w:autoSpaceDE/>
        <w:autoSpaceDN/>
        <w:bidi w:val="0"/>
        <w:adjustRightInd/>
        <w:snapToGrid/>
        <w:spacing w:before="313" w:beforeLines="100"/>
        <w:jc w:val="center"/>
        <w:textAlignment w:val="auto"/>
        <w:rPr>
          <w:rFonts w:hint="eastAsia" w:ascii="楷体_GB2312" w:hAnsi="楷体_GB2312" w:eastAsia="楷体_GB2312" w:cs="楷体_GB2312"/>
          <w:sz w:val="44"/>
          <w:szCs w:val="44"/>
        </w:rPr>
      </w:pPr>
      <w:r>
        <w:rPr>
          <w:rFonts w:hint="eastAsia" w:ascii="楷体_GB2312" w:hAnsi="楷体_GB2312" w:eastAsia="楷体_GB2312" w:cs="楷体_GB2312"/>
          <w:color w:val="000000"/>
          <w:kern w:val="0"/>
          <w:sz w:val="32"/>
          <w:szCs w:val="32"/>
          <w:lang w:val="en-US" w:eastAsia="zh-CN"/>
        </w:rPr>
        <w:t>枣高兴仁办发</w:t>
      </w:r>
      <w:r>
        <w:rPr>
          <w:rFonts w:hint="eastAsia"/>
          <w:sz w:val="30"/>
          <w:szCs w:val="30"/>
          <w:lang w:val="en-US" w:eastAsia="zh-CN"/>
        </w:rPr>
        <w:t>〔</w:t>
      </w:r>
      <w:r>
        <w:rPr>
          <w:rFonts w:hint="eastAsia" w:ascii="楷体_GB2312" w:hAnsi="楷体_GB2312" w:eastAsia="楷体_GB2312" w:cs="楷体_GB2312"/>
          <w:color w:val="000000"/>
          <w:kern w:val="0"/>
          <w:sz w:val="32"/>
          <w:szCs w:val="32"/>
          <w:lang w:val="en-US" w:eastAsia="zh-CN"/>
        </w:rPr>
        <w:t>2023</w:t>
      </w:r>
      <w:r>
        <w:rPr>
          <w:rFonts w:hint="eastAsia"/>
          <w:sz w:val="30"/>
          <w:szCs w:val="30"/>
          <w:lang w:val="en-US" w:eastAsia="zh-CN"/>
        </w:rPr>
        <w:t>〕</w:t>
      </w:r>
      <w:r>
        <w:rPr>
          <w:rFonts w:hint="eastAsia" w:ascii="楷体_GB2312" w:hAnsi="楷体_GB2312" w:eastAsia="楷体_GB2312" w:cs="楷体_GB2312"/>
          <w:color w:val="000000"/>
          <w:kern w:val="0"/>
          <w:sz w:val="32"/>
          <w:szCs w:val="32"/>
          <w:lang w:val="en-US" w:eastAsia="zh-CN"/>
        </w:rPr>
        <w:t>20号</w:t>
      </w:r>
    </w:p>
    <w:p>
      <w:pPr>
        <w:jc w:val="both"/>
        <w:rPr>
          <w:rFonts w:hint="eastAsia" w:ascii="黑体" w:hAnsi="宋体" w:eastAsia="黑体" w:cs="宋体"/>
          <w:color w:val="000000"/>
          <w:kern w:val="0"/>
          <w:sz w:val="44"/>
          <w:szCs w:val="44"/>
        </w:rPr>
      </w:pPr>
      <w:r>
        <w:rPr>
          <w:rFonts w:hint="eastAsia" w:ascii="方正大标宋简体" w:eastAsia="方正大标宋简体"/>
          <w:sz w:val="44"/>
          <w:szCs w:val="44"/>
        </w:rPr>
        <mc:AlternateContent>
          <mc:Choice Requires="wps">
            <w:drawing>
              <wp:anchor distT="0" distB="0" distL="114300" distR="114300" simplePos="0" relativeHeight="251659264" behindDoc="0" locked="0" layoutInCell="1" allowOverlap="1">
                <wp:simplePos x="0" y="0"/>
                <wp:positionH relativeFrom="column">
                  <wp:posOffset>-75565</wp:posOffset>
                </wp:positionH>
                <wp:positionV relativeFrom="paragraph">
                  <wp:posOffset>111760</wp:posOffset>
                </wp:positionV>
                <wp:extent cx="5715000" cy="0"/>
                <wp:effectExtent l="0" t="13970" r="0" b="24130"/>
                <wp:wrapNone/>
                <wp:docPr id="2" name="直接连接符 2"/>
                <wp:cNvGraphicFramePr/>
                <a:graphic xmlns:a="http://schemas.openxmlformats.org/drawingml/2006/main">
                  <a:graphicData uri="http://schemas.microsoft.com/office/word/2010/wordprocessingShape">
                    <wps:wsp>
                      <wps:cNvCnPr/>
                      <wps:spPr>
                        <a:xfrm>
                          <a:off x="0" y="0"/>
                          <a:ext cx="5715000" cy="0"/>
                        </a:xfrm>
                        <a:prstGeom prst="line">
                          <a:avLst/>
                        </a:prstGeom>
                        <a:ln w="28575"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5.95pt;margin-top:8.8pt;height:0pt;width:450pt;z-index:251659264;mso-width-relative:page;mso-height-relative:page;" filled="f" stroked="t" coordsize="21600,21600" o:gfxdata="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HCZCudUAAAAJAQAADwAAAAAAAAABACAAAAAiAAAAZHJzL2Rvd25yZXYueG1s&#10;UEsBAhQAFAAAAAgAh07iQCi3GOL7AQAA8wMAAA4AAAAAAAAAAQAgAAAAJAEAAGRycy9lMm9Eb2Mu&#10;eG1sUEsFBgAAAAAGAAYAWQEAAJEFAAAAAA==&#10;">
                <v:fill on="f" focussize="0,0"/>
                <v:stroke weight="2.25pt" color="#FF0000" joinstyle="round"/>
                <v:imagedata o:title=""/>
                <o:lock v:ext="edit" aspectratio="f"/>
              </v:line>
            </w:pict>
          </mc:Fallback>
        </mc:AlternateContent>
      </w:r>
    </w:p>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关于切实做好三秋生产暨秸秆禁烧工作的</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通知</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各管区、村、各有关部门：</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为全力做好三秋生产与秸秆禁烧综合利用工作，确保三秋生产工作顺利进行，有效遏制焚烧秸秆违法行为，保障大气环境质量和秋粮丰产丰收工作，现结合我街道实际，主要抓好以下几方面工作：</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Chars="0"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指导思想</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0000FF"/>
          <w:sz w:val="32"/>
          <w:szCs w:val="32"/>
          <w:lang w:val="en-US" w:eastAsia="zh-CN"/>
        </w:rPr>
      </w:pPr>
      <w:r>
        <w:rPr>
          <w:rFonts w:hint="eastAsia" w:ascii="仿宋" w:hAnsi="仿宋" w:eastAsia="仿宋" w:cs="仿宋"/>
          <w:b w:val="0"/>
          <w:bCs w:val="0"/>
          <w:sz w:val="32"/>
          <w:szCs w:val="32"/>
          <w:lang w:val="en-US" w:eastAsia="zh-CN"/>
        </w:rPr>
        <w:t>以习近平新时代中国特色社会主义思想为指导，以提升农机装备水平、推广农机化新技术为抓手，以玉米机收、机械深松整地和小麦播种为重点。我街道立足一个“早”字，突出一个“实”字，结合实际情况，超前谋划、细心部署，积极落实各项措施，确保今年三秋生产工作圆满完成。</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三、工作内容</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3"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（一）全面抓好宣传动员</w:t>
      </w:r>
      <w:r>
        <w:rPr>
          <w:rFonts w:hint="eastAsia" w:ascii="楷体_GB2312" w:hAnsi="楷体_GB2312" w:eastAsia="楷体_GB2312" w:cs="楷体_GB2312"/>
          <w:sz w:val="32"/>
          <w:szCs w:val="32"/>
          <w:lang w:val="en-US" w:eastAsia="zh-CN"/>
        </w:rPr>
        <w:t>。</w:t>
      </w:r>
      <w:r>
        <w:rPr>
          <w:rFonts w:hint="eastAsia" w:ascii="仿宋" w:hAnsi="仿宋" w:eastAsia="仿宋" w:cs="仿宋"/>
          <w:b w:val="0"/>
          <w:bCs w:val="0"/>
          <w:sz w:val="32"/>
          <w:szCs w:val="32"/>
          <w:lang w:val="en-US" w:eastAsia="zh-CN"/>
        </w:rPr>
        <w:t>各村支部书记、主任要认真履行防火禁烧的第一责任人，全面抓好辖区内的秋收和秸秆禁烧工作。要强化宣传引导，充分利用村广播</w:t>
      </w:r>
      <w:r>
        <w:rPr>
          <w:rFonts w:hint="eastAsia" w:ascii="仿宋_GB2312" w:hAnsi="仿宋_GB2312" w:eastAsia="仿宋_GB2312" w:cs="仿宋_GB2312"/>
          <w:sz w:val="32"/>
          <w:szCs w:val="32"/>
          <w:lang w:val="en-US" w:eastAsia="zh-CN"/>
        </w:rPr>
        <w:t>、悬挂防火横幅、宣传车巡回宣传等方式，广泛深入宣传禁烧和秸秆综合利用工作，把禁烧秸秆和大气污染防治工作的决心和力度宣传出去，把焚烧秸秆的后果及惩治措施宣传出去，推动形成“秸秆禁烧、人人参与、人人有责”的三秋生产的浓厚氛围。提高广大村民防火安全意识。每村要张贴禁烧通告，每条路悬挂过路标语，村庄主干道两侧，在显要位置悬挂秸秆禁烧宣传条幅，1000人以下的村，宣传条幅不少于5幅，1000人以上的村，过路标语不少于10幅。街道督导组将对宣传情况进行专项检查，对宣传不到位的村进行通报批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3"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（二）严格落实防火措施</w:t>
      </w:r>
      <w:r>
        <w:rPr>
          <w:rFonts w:hint="eastAsia" w:ascii="楷体_GB2312" w:hAnsi="楷体_GB2312" w:eastAsia="楷体_GB2312" w:cs="楷体_GB2312"/>
          <w:sz w:val="32"/>
          <w:szCs w:val="32"/>
          <w:lang w:val="en-US" w:eastAsia="zh-CN"/>
        </w:rPr>
        <w:t>。</w:t>
      </w:r>
      <w:r>
        <w:rPr>
          <w:rFonts w:hint="eastAsia" w:ascii="仿宋_GB2312" w:hAnsi="仿宋_GB2312" w:eastAsia="仿宋_GB2312" w:cs="仿宋_GB2312"/>
          <w:sz w:val="32"/>
          <w:szCs w:val="32"/>
          <w:lang w:val="en-US" w:eastAsia="zh-CN"/>
        </w:rPr>
        <w:t>严格落实安全防火责任制，每个村根据地块实际情况，设置防火棚即（本村三秋生产和秸秆禁烧指挥部）。防火棚要明确至少2名固定防火队员，防火棚内要配备必要的灭火工具和桌椅、床铺、绘制防火点分布图，注明值班带班人员、联系方式。村级组织专人安全巡查队伍，24小时昼夜值班，严防死守。要把握好关键时间节点和重要部位，合理安排作息时间，避免一早一晚和午饭时间出现监管空档，确保防火责任落到实处，彻底消除焚烧秸秆的现象。</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3"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（三）拓宽秸秆综合利用渠道</w:t>
      </w:r>
      <w:r>
        <w:rPr>
          <w:rFonts w:hint="eastAsia" w:ascii="楷体_GB2312" w:hAnsi="楷体_GB2312" w:eastAsia="楷体_GB2312" w:cs="楷体_GB2312"/>
          <w:sz w:val="32"/>
          <w:szCs w:val="32"/>
          <w:lang w:val="en-US" w:eastAsia="zh-CN"/>
        </w:rPr>
        <w:t>。</w:t>
      </w:r>
      <w:r>
        <w:rPr>
          <w:rFonts w:hint="eastAsia" w:ascii="仿宋_GB2312" w:hAnsi="仿宋_GB2312" w:eastAsia="仿宋_GB2312" w:cs="仿宋_GB2312"/>
          <w:sz w:val="32"/>
          <w:szCs w:val="32"/>
          <w:lang w:val="en-US" w:eastAsia="zh-CN"/>
        </w:rPr>
        <w:t>积极开展秸秆肥料，进一步加大收储与综合利用力度。大力开展秸秆肥料化利用，推广秸秆机械化还田，力争全部使用联合收获、秸秆粉碎还田机械，把秸秆就地粉碎还田，增加土壤肥力，改善土壤环境。对于不能粉碎还田的秸秆，禁止堆放在田间地头、河沟、渠边及道路两侧等处。各管区、村要组织进行彻底清运，利用村内外空闲地、废弃地进行集中堆放。曲柏后村、西曲柏村、匡山头村3个重点的村，每村至少要设置一个秸秆集中堆放点。集中堆放点要安排专人看管，配备相应的灭火工具。</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四、组织领导</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sz w:val="32"/>
          <w:szCs w:val="32"/>
        </w:rPr>
      </w:pPr>
      <w:r>
        <w:rPr>
          <w:rFonts w:hint="eastAsia" w:ascii="楷体_GB2312" w:hAnsi="楷体_GB2312" w:eastAsia="楷体_GB2312" w:cs="楷体_GB2312"/>
          <w:b/>
          <w:bCs/>
          <w:sz w:val="32"/>
          <w:szCs w:val="32"/>
          <w:lang w:val="en-US" w:eastAsia="zh-CN"/>
        </w:rPr>
        <w:t>（一）强化领导</w:t>
      </w:r>
      <w:r>
        <w:rPr>
          <w:rFonts w:hint="eastAsia" w:ascii="楷体_GB2312" w:hAnsi="楷体_GB2312" w:eastAsia="楷体_GB2312" w:cs="楷体_GB2312"/>
          <w:sz w:val="32"/>
          <w:szCs w:val="32"/>
          <w:lang w:val="en-US" w:eastAsia="zh-CN"/>
        </w:rPr>
        <w:t>。</w:t>
      </w:r>
      <w:r>
        <w:rPr>
          <w:rFonts w:hint="eastAsia" w:ascii="仿宋" w:hAnsi="仿宋" w:eastAsia="仿宋" w:cs="仿宋"/>
          <w:sz w:val="32"/>
          <w:szCs w:val="32"/>
        </w:rPr>
        <w:t>为加强对三秋及秸秆禁烧工作的领导，街道成立由党工委书记任总指挥，办事处主任任组长，分管领导任副组长，</w:t>
      </w:r>
      <w:r>
        <w:rPr>
          <w:rFonts w:hint="eastAsia" w:ascii="仿宋" w:hAnsi="仿宋" w:eastAsia="仿宋" w:cs="仿宋"/>
          <w:sz w:val="32"/>
          <w:szCs w:val="32"/>
          <w:lang w:val="en-US" w:eastAsia="zh-CN"/>
        </w:rPr>
        <w:t>科级干部</w:t>
      </w:r>
      <w:r>
        <w:rPr>
          <w:rFonts w:hint="eastAsia" w:ascii="仿宋" w:hAnsi="仿宋" w:eastAsia="仿宋" w:cs="仿宋"/>
          <w:sz w:val="32"/>
          <w:szCs w:val="32"/>
        </w:rPr>
        <w:t>为成员的三秋生产</w:t>
      </w:r>
      <w:r>
        <w:rPr>
          <w:rFonts w:hint="eastAsia" w:ascii="仿宋" w:hAnsi="仿宋" w:eastAsia="仿宋" w:cs="仿宋"/>
          <w:sz w:val="32"/>
          <w:szCs w:val="32"/>
          <w:lang w:val="en-US" w:eastAsia="zh-CN"/>
        </w:rPr>
        <w:t>及秸秆禁烧</w:t>
      </w:r>
      <w:r>
        <w:rPr>
          <w:rFonts w:hint="eastAsia" w:ascii="仿宋" w:hAnsi="仿宋" w:eastAsia="仿宋" w:cs="仿宋"/>
          <w:sz w:val="32"/>
          <w:szCs w:val="32"/>
        </w:rPr>
        <w:t>工作领导小组，</w:t>
      </w:r>
      <w:r>
        <w:rPr>
          <w:rFonts w:hint="eastAsia" w:ascii="仿宋_GB2312" w:hAnsi="仿宋_GB2312" w:eastAsia="仿宋_GB2312" w:cs="仿宋_GB2312"/>
          <w:sz w:val="32"/>
          <w:szCs w:val="32"/>
          <w:lang w:val="en-US" w:eastAsia="zh-CN"/>
        </w:rPr>
        <w:t>具体负责秸秆综合利用和禁烧工作的统筹调度、组织协调、督导和检查验收。</w:t>
      </w:r>
      <w:r>
        <w:rPr>
          <w:rFonts w:hint="eastAsia" w:ascii="仿宋" w:hAnsi="仿宋" w:eastAsia="仿宋" w:cs="仿宋"/>
          <w:sz w:val="32"/>
          <w:szCs w:val="32"/>
        </w:rPr>
        <w:t>各村也要成立相应的机构，</w:t>
      </w:r>
      <w:r>
        <w:rPr>
          <w:rFonts w:hint="eastAsia" w:ascii="仿宋_GB2312" w:hAnsi="仿宋_GB2312" w:eastAsia="仿宋_GB2312" w:cs="仿宋_GB2312"/>
          <w:sz w:val="32"/>
          <w:szCs w:val="32"/>
          <w:lang w:val="en-US" w:eastAsia="zh-CN"/>
        </w:rPr>
        <w:t>认真安排部署，切实抓好落实，明确分工，细化责任，</w:t>
      </w:r>
      <w:r>
        <w:rPr>
          <w:rFonts w:hint="eastAsia" w:ascii="仿宋" w:hAnsi="仿宋" w:eastAsia="仿宋" w:cs="仿宋"/>
          <w:sz w:val="32"/>
          <w:szCs w:val="32"/>
        </w:rPr>
        <w:t>支部书记亲自抓，村两委成员具体抓，一级抓一级，层层抓落实。加强对三秋及秸秆禁烧工作的统一指挥，</w:t>
      </w:r>
      <w:r>
        <w:rPr>
          <w:rFonts w:hint="eastAsia" w:ascii="仿宋_GB2312" w:hAnsi="仿宋_GB2312" w:eastAsia="仿宋_GB2312" w:cs="仿宋_GB2312"/>
          <w:sz w:val="32"/>
          <w:szCs w:val="32"/>
          <w:lang w:val="en-US" w:eastAsia="zh-CN"/>
        </w:rPr>
        <w:t>确保三秋生产、秸秆综合利用和禁烧工作顺利进行和全面完成。</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3"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（二）全面督导</w:t>
      </w:r>
      <w:r>
        <w:rPr>
          <w:rFonts w:hint="eastAsia" w:ascii="楷体_GB2312" w:hAnsi="楷体_GB2312" w:eastAsia="楷体_GB2312" w:cs="楷体_GB2312"/>
          <w:sz w:val="32"/>
          <w:szCs w:val="32"/>
          <w:lang w:val="en-US" w:eastAsia="zh-CN"/>
        </w:rPr>
        <w:t>。</w:t>
      </w:r>
      <w:r>
        <w:rPr>
          <w:rFonts w:hint="eastAsia" w:ascii="仿宋_GB2312" w:hAnsi="仿宋_GB2312" w:eastAsia="仿宋_GB2312" w:cs="仿宋_GB2312"/>
          <w:sz w:val="32"/>
          <w:szCs w:val="32"/>
          <w:lang w:val="en-US" w:eastAsia="zh-CN"/>
        </w:rPr>
        <w:t>成立由领导干部带队的督导组，坚持明察暗访相结合，不定期对各管区、村的秸秆综合利用、禁烧及禁止在主干道路、村村通道路上打场晒粮等工作的开展情况进行督查，好的予以表彰，差的通报批评。</w:t>
      </w:r>
      <w:r>
        <w:rPr>
          <w:rFonts w:hint="eastAsia" w:ascii="仿宋_GB2312" w:hAnsi="仿宋_GB2312" w:eastAsia="仿宋_GB2312" w:cs="仿宋_GB2312"/>
          <w:b/>
          <w:bCs/>
          <w:sz w:val="32"/>
          <w:szCs w:val="32"/>
          <w:lang w:val="en-US" w:eastAsia="zh-CN"/>
        </w:rPr>
        <w:t>一是对各村防火棚搭建及防火设施配备进行督导检查。各</w:t>
      </w:r>
      <w:r>
        <w:rPr>
          <w:rFonts w:hint="eastAsia" w:ascii="仿宋_GB2312" w:hAnsi="仿宋_GB2312" w:eastAsia="仿宋_GB2312" w:cs="仿宋_GB2312"/>
          <w:b w:val="0"/>
          <w:bCs w:val="0"/>
          <w:sz w:val="32"/>
          <w:szCs w:val="32"/>
          <w:lang w:val="en-US" w:eastAsia="zh-CN"/>
        </w:rPr>
        <w:t>防火点的防火棚应在秋收前搭建好，对秋收作物已收获还未搭建好防火棚或防火工具不到位的村责令限期整改。</w:t>
      </w:r>
      <w:r>
        <w:rPr>
          <w:rFonts w:hint="eastAsia" w:ascii="仿宋_GB2312" w:hAnsi="仿宋_GB2312" w:eastAsia="仿宋_GB2312" w:cs="仿宋_GB2312"/>
          <w:b/>
          <w:bCs/>
          <w:sz w:val="32"/>
          <w:szCs w:val="32"/>
          <w:lang w:val="en-US" w:eastAsia="zh-CN"/>
        </w:rPr>
        <w:t>二是督导人员到位情况。</w:t>
      </w:r>
      <w:r>
        <w:rPr>
          <w:rFonts w:hint="eastAsia" w:ascii="仿宋_GB2312" w:hAnsi="仿宋_GB2312" w:eastAsia="仿宋_GB2312" w:cs="仿宋_GB2312"/>
          <w:b w:val="0"/>
          <w:bCs w:val="0"/>
          <w:sz w:val="32"/>
          <w:szCs w:val="32"/>
          <w:lang w:val="en-US" w:eastAsia="zh-CN"/>
        </w:rPr>
        <w:t>村干部不按要求在防火岗位的，要在全街道通报批评。</w:t>
      </w:r>
      <w:r>
        <w:rPr>
          <w:rFonts w:hint="eastAsia" w:ascii="仿宋_GB2312" w:hAnsi="仿宋_GB2312" w:eastAsia="仿宋_GB2312" w:cs="仿宋_GB2312"/>
          <w:b/>
          <w:bCs/>
          <w:sz w:val="32"/>
          <w:szCs w:val="32"/>
          <w:lang w:val="en-US" w:eastAsia="zh-CN"/>
        </w:rPr>
        <w:t>三是督导各管区、村的秸秆粉碎和清理工作。</w:t>
      </w:r>
      <w:r>
        <w:rPr>
          <w:rFonts w:hint="eastAsia" w:ascii="仿宋_GB2312" w:hAnsi="仿宋_GB2312" w:eastAsia="仿宋_GB2312" w:cs="仿宋_GB2312"/>
          <w:b w:val="0"/>
          <w:bCs w:val="0"/>
          <w:sz w:val="32"/>
          <w:szCs w:val="32"/>
          <w:lang w:val="en-US" w:eastAsia="zh-CN"/>
        </w:rPr>
        <w:t>对因监督不力导致粉碎效果不好和秸秆清理不及时、不彻底的，或整改落实不到位的管区、村在全街道进行通报批评。</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textAlignment w:val="auto"/>
        <w:rPr>
          <w:rFonts w:hint="eastAsia" w:ascii="仿宋_GB2312" w:hAnsi="仿宋_GB2312" w:eastAsia="仿宋_GB2312" w:cs="仿宋_GB2312"/>
          <w:b w:val="0"/>
          <w:bCs w:val="0"/>
          <w:sz w:val="32"/>
          <w:szCs w:val="32"/>
          <w:lang w:val="en-US" w:eastAsia="zh-CN"/>
        </w:rPr>
      </w:pPr>
      <w:bookmarkStart w:id="0" w:name="_GoBack"/>
      <w:bookmarkEnd w:id="0"/>
      <w:r>
        <w:rPr>
          <w:rFonts w:hint="eastAsia" w:ascii="仿宋_GB2312" w:hAnsi="仿宋_GB2312" w:eastAsia="仿宋_GB2312" w:cs="仿宋_GB2312"/>
          <w:b w:val="0"/>
          <w:bCs w:val="0"/>
          <w:sz w:val="32"/>
          <w:szCs w:val="32"/>
          <w:lang w:val="en-US" w:eastAsia="zh-CN"/>
        </w:rPr>
        <w:t>全体管区和村干部要切实提高站位，讲政治，顾大局，明确重点，找准关键，以高度的责任感、使命感，担当作为，抓好工作措施的落实，全力以赴保证三秋生产暨秸秆禁烧与综合利用工作完美收官。</w:t>
      </w:r>
    </w:p>
    <w:sectPr>
      <w:footerReference r:id="rId3" w:type="default"/>
      <w:pgSz w:w="11906" w:h="16838"/>
      <w:pgMar w:top="1701" w:right="1587" w:bottom="1587"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eastAsia="宋体"/>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1</w:t>
    </w:r>
    <w:r>
      <w:rPr>
        <w:rFonts w:hint="eastAsia" w:ascii="宋体" w:hAnsi="宋体" w:eastAsia="宋体" w:cs="宋体"/>
        <w:sz w:val="24"/>
        <w:szCs w:val="24"/>
        <w:lang w:eastAsia="zh-CN"/>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8D045E"/>
    <w:multiLevelType w:val="singleLevel"/>
    <w:tmpl w:val="CD8D045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UyYTMxOGM4ZmZlZGNhOWYyMTgxZDZkMzVkY2ZiNjMifQ=="/>
  </w:docVars>
  <w:rsids>
    <w:rsidRoot w:val="00000000"/>
    <w:rsid w:val="024C46FE"/>
    <w:rsid w:val="02BA46C1"/>
    <w:rsid w:val="05981CD4"/>
    <w:rsid w:val="06A337B9"/>
    <w:rsid w:val="06F625A4"/>
    <w:rsid w:val="0AD62CB5"/>
    <w:rsid w:val="0C910471"/>
    <w:rsid w:val="158A212D"/>
    <w:rsid w:val="16440DCC"/>
    <w:rsid w:val="18AC2B85"/>
    <w:rsid w:val="18CA5540"/>
    <w:rsid w:val="1C200DCE"/>
    <w:rsid w:val="1D4A73B7"/>
    <w:rsid w:val="20380BDE"/>
    <w:rsid w:val="22125CC2"/>
    <w:rsid w:val="237E243E"/>
    <w:rsid w:val="24396C30"/>
    <w:rsid w:val="2E612B53"/>
    <w:rsid w:val="2EAD7818"/>
    <w:rsid w:val="304D71E4"/>
    <w:rsid w:val="340D5924"/>
    <w:rsid w:val="36DF781C"/>
    <w:rsid w:val="3C015B27"/>
    <w:rsid w:val="3F996792"/>
    <w:rsid w:val="48E513EF"/>
    <w:rsid w:val="4BB543D4"/>
    <w:rsid w:val="4DA6718B"/>
    <w:rsid w:val="505A0AA6"/>
    <w:rsid w:val="51F33BCD"/>
    <w:rsid w:val="52C6003E"/>
    <w:rsid w:val="60B344B3"/>
    <w:rsid w:val="62B40FD5"/>
    <w:rsid w:val="636A6D4C"/>
    <w:rsid w:val="662769E6"/>
    <w:rsid w:val="67EF7113"/>
    <w:rsid w:val="6A7E7B5D"/>
    <w:rsid w:val="6D7C7456"/>
    <w:rsid w:val="6EEB5503"/>
    <w:rsid w:val="6F43410F"/>
    <w:rsid w:val="70DC77D7"/>
    <w:rsid w:val="715D6356"/>
    <w:rsid w:val="74F82FA3"/>
    <w:rsid w:val="74FF6F3F"/>
    <w:rsid w:val="76E76439"/>
    <w:rsid w:val="7C1454B8"/>
    <w:rsid w:val="7C694787"/>
    <w:rsid w:val="7CC876B0"/>
    <w:rsid w:val="7D4E3389"/>
    <w:rsid w:val="7E004771"/>
    <w:rsid w:val="7E98302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3295</Words>
  <Characters>3317</Characters>
  <Lines>0</Lines>
  <Paragraphs>0</Paragraphs>
  <TotalTime>141</TotalTime>
  <ScaleCrop>false</ScaleCrop>
  <LinksUpToDate>false</LinksUpToDate>
  <CharactersWithSpaces>3504</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2020-10-04T02:46:00Z</dcterms:created>
  <dc:creator>Administrator</dc:creator>
  <cp:lastModifiedBy>热河</cp:lastModifiedBy>
  <cp:lastPrinted>2022-09-23T00:41:00Z</cp:lastPrinted>
  <dcterms:modified xsi:type="dcterms:W3CDTF">2023-09-20T02:02:57Z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C86BF713F9A14E5BB388C7F2D7D25EA7_13</vt:lpwstr>
  </property>
</Properties>
</file>